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8"/>
        </w:rPr>
      </w:pPr>
      <w:r>
        <w:rPr>
          <w:b/>
          <w:sz w:val="28"/>
        </w:rPr>
        <w:t>Welfare and Financial Guardianship in the Care Home</w:t>
      </w:r>
    </w:p>
    <w:p>
      <w:pPr>
        <w:pStyle w:val="Normal"/>
        <w:rPr>
          <w:b/>
          <w:b/>
          <w:sz w:val="22"/>
        </w:rPr>
      </w:pPr>
      <w:r>
        <w:rPr>
          <w:b/>
          <w:sz w:val="22"/>
        </w:rPr>
      </w:r>
    </w:p>
    <w:p>
      <w:pPr>
        <w:pStyle w:val="Normal"/>
        <w:rPr/>
      </w:pPr>
      <w:r>
        <w:rPr>
          <w:sz w:val="22"/>
        </w:rPr>
        <w:t>The following is not an exclusive guide but can be used in most circumstances when a person who lacks some capacity is admitted to a residential unit or care home under guardianship. See the Codes of Practice for managers of authorised establishments under part 4 of the Act for guidance on how care establishments may manage the finances of residents themselves in certain circumstances.</w:t>
      </w:r>
    </w:p>
    <w:p>
      <w:pPr>
        <w:pStyle w:val="Normal"/>
        <w:rPr>
          <w:sz w:val="22"/>
        </w:rPr>
      </w:pPr>
      <w:r>
        <w:rPr>
          <w:sz w:val="22"/>
        </w:rPr>
      </w:r>
    </w:p>
    <w:p>
      <w:pPr>
        <w:pStyle w:val="Normal"/>
        <w:rPr>
          <w:b/>
          <w:b/>
          <w:sz w:val="22"/>
        </w:rPr>
      </w:pPr>
      <w:r>
        <w:rPr>
          <w:b/>
          <w:sz w:val="22"/>
        </w:rPr>
        <w:t>Record Keeping</w:t>
      </w:r>
    </w:p>
    <w:p>
      <w:pPr>
        <w:pStyle w:val="Normal"/>
        <w:rPr>
          <w:b/>
          <w:b/>
          <w:sz w:val="22"/>
        </w:rPr>
      </w:pPr>
      <w:r>
        <w:rPr>
          <w:b/>
          <w:sz w:val="22"/>
        </w:rPr>
      </w:r>
    </w:p>
    <w:p>
      <w:pPr>
        <w:pStyle w:val="Normal"/>
        <w:rPr/>
      </w:pPr>
      <w:r>
        <w:rPr>
          <w:sz w:val="22"/>
        </w:rPr>
        <w:t>It would be good practice for the care home to keep certain additional records about the operation of the guardianship.  These should always include a record of the specific powers the guardian has and delegates to staff, such as supervision when out, restricting access to alcohol, or certain people, or management of personal allowances.</w:t>
      </w:r>
    </w:p>
    <w:p>
      <w:pPr>
        <w:pStyle w:val="Normal"/>
        <w:rPr>
          <w:sz w:val="22"/>
        </w:rPr>
      </w:pPr>
      <w:r>
        <w:rPr>
          <w:sz w:val="22"/>
        </w:rPr>
      </w:r>
    </w:p>
    <w:p>
      <w:pPr>
        <w:pStyle w:val="Normal"/>
        <w:rPr>
          <w:sz w:val="22"/>
        </w:rPr>
      </w:pPr>
      <w:r>
        <w:rPr>
          <w:sz w:val="22"/>
        </w:rPr>
        <w:t xml:space="preserve">The care home must ensure the guardian/attorney (as well as the social worker and Care Inspectorate) are informed of any accidents or incidents.  The guardian/attorney must be involved in decisions, or changes to, the plan of care. </w:t>
      </w:r>
    </w:p>
    <w:p>
      <w:pPr>
        <w:pStyle w:val="Normal"/>
        <w:rPr>
          <w:sz w:val="22"/>
        </w:rPr>
      </w:pPr>
      <w:r>
        <w:rPr>
          <w:sz w:val="22"/>
        </w:rPr>
      </w:r>
    </w:p>
    <w:p>
      <w:pPr>
        <w:pStyle w:val="Normal"/>
        <w:rPr/>
      </w:pPr>
      <w:r>
        <w:rPr>
          <w:sz w:val="22"/>
        </w:rPr>
        <w:t>A record of contact between the care home and the guardian should be kept. Where the guardian is a private person, a record of contact between the care home and the supervising social worker also should be kept.  If the SW is the guardian they must keep in regular contact with the person on guardianship.</w:t>
      </w:r>
    </w:p>
    <w:p>
      <w:pPr>
        <w:pStyle w:val="Normal"/>
        <w:rPr>
          <w:sz w:val="22"/>
        </w:rPr>
      </w:pPr>
      <w:r>
        <w:rPr>
          <w:sz w:val="22"/>
        </w:rPr>
      </w:r>
    </w:p>
    <w:p>
      <w:pPr>
        <w:pStyle w:val="Normal"/>
        <w:rPr>
          <w:b/>
          <w:b/>
          <w:sz w:val="22"/>
        </w:rPr>
      </w:pPr>
      <w:r>
        <w:rPr>
          <w:b/>
          <w:sz w:val="22"/>
        </w:rPr>
        <w:t>Agreement between guardian/s and the care provider</w:t>
      </w:r>
    </w:p>
    <w:p>
      <w:pPr>
        <w:pStyle w:val="Normal"/>
        <w:rPr>
          <w:b/>
          <w:b/>
          <w:sz w:val="22"/>
        </w:rPr>
      </w:pPr>
      <w:r>
        <w:rPr>
          <w:b/>
          <w:sz w:val="22"/>
        </w:rPr>
      </w:r>
    </w:p>
    <w:tbl>
      <w:tblPr>
        <w:tblW w:w="1069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943"/>
        <w:gridCol w:w="5670"/>
        <w:gridCol w:w="2079"/>
      </w:tblGrid>
      <w:tr>
        <w:trPr/>
        <w:tc>
          <w:tcPr>
            <w:tcW w:w="294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sz w:val="22"/>
              </w:rPr>
            </w:pPr>
            <w:r>
              <w:rPr>
                <w:sz w:val="22"/>
              </w:rPr>
            </w:r>
          </w:p>
          <w:p>
            <w:pPr>
              <w:pStyle w:val="Normal"/>
              <w:rPr>
                <w:b/>
                <w:b/>
                <w:sz w:val="22"/>
              </w:rPr>
            </w:pPr>
            <w:r>
              <w:rPr>
                <w:b/>
                <w:sz w:val="22"/>
              </w:rPr>
              <w:t>The authorised power</w:t>
            </w:r>
          </w:p>
        </w:tc>
        <w:tc>
          <w:tcPr>
            <w:tcW w:w="56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b/>
                <w:sz w:val="22"/>
              </w:rPr>
              <w:t>Record  of the agreement between the guardian/s and the care provider</w:t>
            </w:r>
          </w:p>
        </w:tc>
        <w:tc>
          <w:tcPr>
            <w:tcW w:w="20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b/>
                <w:b/>
                <w:sz w:val="22"/>
              </w:rPr>
            </w:pPr>
            <w:r>
              <w:rPr>
                <w:b/>
                <w:sz w:val="22"/>
              </w:rPr>
              <w:t>Date and sign</w:t>
            </w:r>
          </w:p>
        </w:tc>
      </w:tr>
      <w:tr>
        <w:trPr/>
        <w:tc>
          <w:tcPr>
            <w:tcW w:w="294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b/>
                <w:b/>
                <w:i/>
                <w:i/>
                <w:color w:val="808080"/>
                <w:sz w:val="22"/>
              </w:rPr>
            </w:pPr>
            <w:r>
              <w:rPr>
                <w:b/>
                <w:i/>
                <w:color w:val="808080"/>
                <w:sz w:val="22"/>
              </w:rPr>
            </w:r>
          </w:p>
          <w:p>
            <w:pPr>
              <w:pStyle w:val="Normal"/>
              <w:rPr>
                <w:b/>
                <w:b/>
                <w:i/>
                <w:i/>
                <w:color w:val="808080"/>
                <w:sz w:val="22"/>
              </w:rPr>
            </w:pPr>
            <w:r>
              <w:rPr>
                <w:b/>
                <w:i/>
                <w:color w:val="808080"/>
                <w:sz w:val="22"/>
              </w:rPr>
              <w:t>Example for ‘Power to decide where the adult shall reside’</w:t>
            </w:r>
          </w:p>
          <w:p>
            <w:pPr>
              <w:pStyle w:val="Normal"/>
              <w:rPr>
                <w:b/>
                <w:b/>
                <w:i/>
                <w:i/>
                <w:color w:val="808080"/>
                <w:sz w:val="22"/>
              </w:rPr>
            </w:pPr>
            <w:r>
              <w:rPr>
                <w:b/>
                <w:i/>
                <w:color w:val="808080"/>
                <w:sz w:val="22"/>
              </w:rPr>
            </w:r>
          </w:p>
          <w:p>
            <w:pPr>
              <w:pStyle w:val="Normal"/>
              <w:rPr>
                <w:i/>
                <w:i/>
                <w:color w:val="808080"/>
                <w:sz w:val="22"/>
              </w:rPr>
            </w:pPr>
            <w:r>
              <w:rPr>
                <w:i/>
                <w:color w:val="808080"/>
                <w:sz w:val="22"/>
              </w:rPr>
            </w:r>
          </w:p>
          <w:p>
            <w:pPr>
              <w:pStyle w:val="Normal"/>
              <w:rPr>
                <w:i/>
                <w:i/>
                <w:color w:val="808080"/>
                <w:sz w:val="22"/>
              </w:rPr>
            </w:pPr>
            <w:r>
              <w:rPr>
                <w:i/>
                <w:color w:val="808080"/>
                <w:sz w:val="22"/>
              </w:rPr>
            </w:r>
          </w:p>
        </w:tc>
        <w:tc>
          <w:tcPr>
            <w:tcW w:w="56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i/>
                <w:i/>
                <w:color w:val="808080"/>
                <w:sz w:val="22"/>
              </w:rPr>
            </w:pPr>
            <w:r>
              <w:rPr>
                <w:i/>
                <w:color w:val="808080"/>
                <w:sz w:val="22"/>
              </w:rPr>
              <w:t>Add how should staff respond if the adult tries to leave the care home?  (This should be also in the care plan).</w:t>
            </w:r>
          </w:p>
          <w:p>
            <w:pPr>
              <w:pStyle w:val="Normal"/>
              <w:rPr>
                <w:i/>
                <w:i/>
                <w:color w:val="808080"/>
                <w:sz w:val="22"/>
              </w:rPr>
            </w:pPr>
            <w:r>
              <w:rPr>
                <w:i/>
                <w:color w:val="808080"/>
                <w:sz w:val="22"/>
              </w:rPr>
              <w:t>Is there an expectation that there is a locked door?</w:t>
            </w:r>
          </w:p>
          <w:p>
            <w:pPr>
              <w:pStyle w:val="Normal"/>
              <w:rPr/>
            </w:pPr>
            <w:r>
              <w:rPr>
                <w:i/>
                <w:color w:val="808080"/>
                <w:sz w:val="22"/>
              </w:rPr>
              <w:t>If the adult manages to leave, should care home staff contact the guardian, only during the day, or at night time too?</w:t>
            </w:r>
          </w:p>
          <w:p>
            <w:pPr>
              <w:pStyle w:val="Normal"/>
              <w:rPr>
                <w:i/>
                <w:i/>
                <w:color w:val="808080"/>
                <w:sz w:val="22"/>
              </w:rPr>
            </w:pPr>
            <w:r>
              <w:rPr>
                <w:i/>
                <w:color w:val="808080"/>
                <w:sz w:val="22"/>
              </w:rPr>
              <w:t>If it is necessary to put hands on the adult to stop him/her leaving - check the certificate - is force authorised?</w:t>
            </w:r>
          </w:p>
        </w:tc>
        <w:tc>
          <w:tcPr>
            <w:tcW w:w="20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i/>
                <w:i/>
                <w:color w:val="808080"/>
                <w:sz w:val="22"/>
              </w:rPr>
            </w:pPr>
            <w:r>
              <w:rPr>
                <w:i/>
                <w:color w:val="808080"/>
                <w:sz w:val="22"/>
              </w:rPr>
              <w:t>Care home manager</w:t>
            </w:r>
          </w:p>
          <w:p>
            <w:pPr>
              <w:pStyle w:val="Normal"/>
              <w:rPr>
                <w:i/>
                <w:i/>
                <w:color w:val="808080"/>
                <w:sz w:val="22"/>
              </w:rPr>
            </w:pPr>
            <w:r>
              <w:rPr>
                <w:i/>
                <w:color w:val="808080"/>
                <w:sz w:val="22"/>
              </w:rPr>
            </w:r>
          </w:p>
          <w:p>
            <w:pPr>
              <w:pStyle w:val="Normal"/>
              <w:rPr>
                <w:i/>
                <w:i/>
                <w:color w:val="808080"/>
                <w:sz w:val="22"/>
              </w:rPr>
            </w:pPr>
            <w:r>
              <w:rPr>
                <w:i/>
                <w:color w:val="808080"/>
                <w:sz w:val="22"/>
              </w:rPr>
            </w:r>
          </w:p>
          <w:p>
            <w:pPr>
              <w:pStyle w:val="Normal"/>
              <w:rPr>
                <w:i/>
                <w:i/>
                <w:color w:val="808080"/>
                <w:sz w:val="22"/>
              </w:rPr>
            </w:pPr>
            <w:r>
              <w:rPr>
                <w:i/>
                <w:color w:val="808080"/>
                <w:sz w:val="22"/>
              </w:rPr>
              <w:t xml:space="preserve">Guardian </w:t>
            </w:r>
          </w:p>
          <w:p>
            <w:pPr>
              <w:pStyle w:val="Normal"/>
              <w:rPr>
                <w:i/>
                <w:i/>
                <w:color w:val="808080"/>
                <w:sz w:val="22"/>
              </w:rPr>
            </w:pPr>
            <w:r>
              <w:rPr>
                <w:i/>
                <w:color w:val="808080"/>
                <w:sz w:val="22"/>
              </w:rPr>
            </w:r>
          </w:p>
          <w:p>
            <w:pPr>
              <w:pStyle w:val="Normal"/>
              <w:rPr>
                <w:i/>
                <w:i/>
                <w:color w:val="808080"/>
                <w:sz w:val="22"/>
              </w:rPr>
            </w:pPr>
            <w:r>
              <w:rPr>
                <w:i/>
                <w:color w:val="808080"/>
                <w:sz w:val="22"/>
              </w:rPr>
            </w:r>
          </w:p>
          <w:p>
            <w:pPr>
              <w:pStyle w:val="Normal"/>
              <w:rPr>
                <w:i/>
                <w:i/>
                <w:color w:val="808080"/>
                <w:sz w:val="22"/>
              </w:rPr>
            </w:pPr>
            <w:r>
              <w:rPr>
                <w:i/>
                <w:color w:val="808080"/>
                <w:sz w:val="22"/>
              </w:rPr>
              <w:t>Date</w:t>
            </w:r>
          </w:p>
        </w:tc>
      </w:tr>
      <w:tr>
        <w:trPr/>
        <w:tc>
          <w:tcPr>
            <w:tcW w:w="294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i/>
                <w:i/>
                <w:color w:val="808080"/>
                <w:sz w:val="22"/>
              </w:rPr>
            </w:pPr>
            <w:r>
              <w:rPr>
                <w:i/>
                <w:color w:val="808080"/>
                <w:sz w:val="22"/>
              </w:rPr>
            </w:r>
          </w:p>
          <w:p>
            <w:pPr>
              <w:pStyle w:val="Normal"/>
              <w:rPr>
                <w:sz w:val="22"/>
              </w:rPr>
            </w:pPr>
            <w:r>
              <w:rPr>
                <w:sz w:val="22"/>
              </w:rPr>
              <w:t>1</w:t>
            </w:r>
            <w:r>
              <w:rPr>
                <w:b/>
                <w:sz w:val="22"/>
              </w:rPr>
              <w:t xml:space="preserve"> Power to decide where the adult shall reside</w:t>
            </w:r>
          </w:p>
          <w:p>
            <w:pPr>
              <w:pStyle w:val="Normal"/>
              <w:rPr>
                <w:sz w:val="22"/>
              </w:rPr>
            </w:pPr>
            <w:r>
              <w:rPr>
                <w:sz w:val="22"/>
              </w:rPr>
            </w:r>
          </w:p>
          <w:p>
            <w:pPr>
              <w:pStyle w:val="Normal"/>
              <w:rPr>
                <w:sz w:val="22"/>
              </w:rPr>
            </w:pPr>
            <w:r>
              <w:rPr>
                <w:sz w:val="22"/>
              </w:rPr>
            </w:r>
          </w:p>
          <w:p>
            <w:pPr>
              <w:pStyle w:val="Normal"/>
              <w:rPr>
                <w:sz w:val="22"/>
              </w:rPr>
            </w:pPr>
            <w:r>
              <w:rPr>
                <w:sz w:val="22"/>
              </w:rPr>
            </w:r>
          </w:p>
        </w:tc>
        <w:tc>
          <w:tcPr>
            <w:tcW w:w="56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sz w:val="22"/>
              </w:rPr>
            </w:pPr>
            <w:r>
              <w:rPr>
                <w:sz w:val="22"/>
              </w:rPr>
            </w:r>
          </w:p>
        </w:tc>
        <w:tc>
          <w:tcPr>
            <w:tcW w:w="20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sz w:val="22"/>
              </w:rPr>
            </w:pPr>
            <w:r>
              <w:rPr>
                <w:sz w:val="22"/>
              </w:rPr>
            </w:r>
          </w:p>
        </w:tc>
      </w:tr>
      <w:tr>
        <w:trPr/>
        <w:tc>
          <w:tcPr>
            <w:tcW w:w="294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sz w:val="22"/>
              </w:rPr>
            </w:pPr>
            <w:r>
              <w:rPr>
                <w:sz w:val="22"/>
              </w:rPr>
            </w:r>
          </w:p>
          <w:p>
            <w:pPr>
              <w:pStyle w:val="Normal"/>
              <w:rPr>
                <w:sz w:val="22"/>
              </w:rPr>
            </w:pPr>
            <w:r>
              <w:rPr>
                <w:sz w:val="22"/>
              </w:rPr>
              <w:t>2</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tc>
        <w:tc>
          <w:tcPr>
            <w:tcW w:w="56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sz w:val="22"/>
              </w:rPr>
            </w:pPr>
            <w:r>
              <w:rPr>
                <w:sz w:val="22"/>
              </w:rPr>
            </w:r>
          </w:p>
        </w:tc>
        <w:tc>
          <w:tcPr>
            <w:tcW w:w="20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sz w:val="22"/>
              </w:rPr>
            </w:pPr>
            <w:r>
              <w:rPr>
                <w:sz w:val="22"/>
              </w:rPr>
            </w:r>
          </w:p>
        </w:tc>
      </w:tr>
      <w:tr>
        <w:trPr/>
        <w:tc>
          <w:tcPr>
            <w:tcW w:w="294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sz w:val="22"/>
              </w:rPr>
            </w:pPr>
            <w:r>
              <w:rPr>
                <w:sz w:val="22"/>
              </w:rPr>
            </w:r>
          </w:p>
          <w:p>
            <w:pPr>
              <w:pStyle w:val="Normal"/>
              <w:rPr>
                <w:sz w:val="22"/>
              </w:rPr>
            </w:pPr>
            <w:r>
              <w:rPr>
                <w:sz w:val="22"/>
              </w:rPr>
              <w:t>3</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tc>
        <w:tc>
          <w:tcPr>
            <w:tcW w:w="56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sz w:val="22"/>
              </w:rPr>
            </w:pPr>
            <w:r>
              <w:rPr>
                <w:sz w:val="22"/>
              </w:rPr>
            </w:r>
          </w:p>
        </w:tc>
        <w:tc>
          <w:tcPr>
            <w:tcW w:w="20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sz w:val="22"/>
              </w:rPr>
            </w:pPr>
            <w:r>
              <w:rPr>
                <w:sz w:val="22"/>
              </w:rPr>
            </w:r>
          </w:p>
        </w:tc>
      </w:tr>
      <w:tr>
        <w:trPr/>
        <w:tc>
          <w:tcPr>
            <w:tcW w:w="294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sz w:val="22"/>
              </w:rPr>
            </w:pPr>
            <w:r>
              <w:rPr>
                <w:sz w:val="22"/>
              </w:rPr>
            </w:r>
          </w:p>
          <w:p>
            <w:pPr>
              <w:pStyle w:val="Normal"/>
              <w:rPr>
                <w:sz w:val="22"/>
              </w:rPr>
            </w:pPr>
            <w:r>
              <w:rPr>
                <w:sz w:val="22"/>
              </w:rPr>
              <w:t>4</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tc>
        <w:tc>
          <w:tcPr>
            <w:tcW w:w="56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sz w:val="22"/>
              </w:rPr>
            </w:pPr>
            <w:r>
              <w:rPr>
                <w:sz w:val="22"/>
              </w:rPr>
            </w:r>
          </w:p>
        </w:tc>
        <w:tc>
          <w:tcPr>
            <w:tcW w:w="20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sz w:val="22"/>
              </w:rPr>
            </w:pPr>
            <w:r>
              <w:rPr>
                <w:sz w:val="22"/>
              </w:rPr>
            </w:r>
          </w:p>
        </w:tc>
      </w:tr>
    </w:tbl>
    <w:p>
      <w:pPr>
        <w:pStyle w:val="Normal"/>
        <w:rPr>
          <w:sz w:val="22"/>
        </w:rPr>
      </w:pPr>
      <w:r>
        <w:rPr>
          <w:sz w:val="22"/>
        </w:rPr>
        <w:t>Continue on a separate sheet if necessary.</w:t>
      </w:r>
    </w:p>
    <w:p>
      <w:pPr>
        <w:pStyle w:val="Heading2"/>
        <w:numPr>
          <w:ilvl w:val="1"/>
          <w:numId w:val="1"/>
        </w:numPr>
        <w:jc w:val="center"/>
        <w:rPr>
          <w:spacing w:val="42"/>
          <w:sz w:val="28"/>
          <w:szCs w:val="28"/>
        </w:rPr>
      </w:pPr>
      <w:r>
        <w:rPr>
          <w:spacing w:val="42"/>
          <w:sz w:val="28"/>
          <w:szCs w:val="28"/>
        </w:rPr>
      </w:r>
    </w:p>
    <w:p>
      <w:pPr>
        <w:pStyle w:val="Normal"/>
        <w:rPr/>
      </w:pPr>
      <w:r>
        <w:rPr>
          <w:b/>
          <w:sz w:val="28"/>
        </w:rPr>
        <w:t>Guardianship/POA Check List for Resident’s File</w:t>
      </w:r>
    </w:p>
    <w:p>
      <w:pPr>
        <w:pStyle w:val="Normal"/>
        <w:rPr>
          <w:b/>
          <w:b/>
          <w:sz w:val="28"/>
        </w:rPr>
      </w:pPr>
      <w:r>
        <w:rPr>
          <w:b/>
          <w:sz w:val="28"/>
        </w:rPr>
      </w:r>
    </w:p>
    <w:tbl>
      <w:tblPr>
        <w:tblW w:w="11157" w:type="dxa"/>
        <w:jc w:val="left"/>
        <w:tblInd w:w="-271"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111"/>
        <w:gridCol w:w="935"/>
        <w:gridCol w:w="753"/>
        <w:gridCol w:w="1682"/>
        <w:gridCol w:w="3676"/>
      </w:tblGrid>
      <w:tr>
        <w:trPr/>
        <w:tc>
          <w:tcPr>
            <w:tcW w:w="41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b/>
                <w:bCs/>
              </w:rPr>
              <w:t>Name of person with incapacity</w:t>
            </w:r>
          </w:p>
        </w:tc>
        <w:tc>
          <w:tcPr>
            <w:tcW w:w="1688"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bCs/>
              </w:rPr>
            </w:pPr>
            <w:r>
              <w:rPr>
                <w:b/>
                <w:bCs/>
              </w:rPr>
              <w:t>DOB</w:t>
            </w:r>
          </w:p>
        </w:tc>
        <w:tc>
          <w:tcPr>
            <w:tcW w:w="168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b/>
                <w:bCs/>
              </w:rPr>
              <w:t>Date g’ship granted</w:t>
            </w:r>
          </w:p>
        </w:tc>
        <w:tc>
          <w:tcPr>
            <w:tcW w:w="36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pPr>
            <w:r>
              <w:rPr>
                <w:b/>
                <w:bCs/>
              </w:rPr>
              <w:t xml:space="preserve">Duration of guardianship </w:t>
            </w:r>
          </w:p>
        </w:tc>
      </w:tr>
      <w:tr>
        <w:trPr/>
        <w:tc>
          <w:tcPr>
            <w:tcW w:w="41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b/>
                <w:b/>
                <w:bCs/>
              </w:rPr>
            </w:pPr>
            <w:r>
              <w:rPr>
                <w:b/>
                <w:bCs/>
              </w:rPr>
            </w:r>
          </w:p>
          <w:p>
            <w:pPr>
              <w:pStyle w:val="Normal"/>
              <w:rPr/>
            </w:pPr>
            <w:r>
              <w:rPr/>
            </w:r>
          </w:p>
          <w:p>
            <w:pPr>
              <w:pStyle w:val="Normal"/>
              <w:rPr/>
            </w:pPr>
            <w:r>
              <w:rPr/>
            </w:r>
          </w:p>
        </w:tc>
        <w:tc>
          <w:tcPr>
            <w:tcW w:w="1688"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168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36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pPr>
            <w:r>
              <w:rPr/>
            </w:r>
          </w:p>
        </w:tc>
      </w:tr>
      <w:tr>
        <w:trPr>
          <w:cantSplit w:val="true"/>
        </w:trPr>
        <w:tc>
          <w:tcPr>
            <w:tcW w:w="41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bCs/>
              </w:rPr>
            </w:pPr>
            <w:r>
              <w:rPr>
                <w:b/>
                <w:bCs/>
              </w:rPr>
              <w:t>Name and address of guardian/s attorney/s</w:t>
            </w:r>
          </w:p>
        </w:tc>
        <w:tc>
          <w:tcPr>
            <w:tcW w:w="1688"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b/>
                <w:bCs/>
              </w:rPr>
              <w:t>Rel’ship to adult</w:t>
            </w:r>
          </w:p>
        </w:tc>
        <w:tc>
          <w:tcPr>
            <w:tcW w:w="53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b/>
                <w:b/>
                <w:bCs/>
              </w:rPr>
            </w:pPr>
            <w:r>
              <w:rPr>
                <w:b/>
                <w:bCs/>
              </w:rPr>
              <w:t>Tele Numbers/Contact Arrangements (inc. out of hours)</w:t>
            </w:r>
          </w:p>
        </w:tc>
      </w:tr>
      <w:tr>
        <w:trPr>
          <w:cantSplit w:val="true"/>
        </w:trPr>
        <w:tc>
          <w:tcPr>
            <w:tcW w:w="41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b/>
                <w:b/>
                <w:bCs/>
              </w:rPr>
            </w:pPr>
            <w:r>
              <w:rPr>
                <w:b/>
                <w:bCs/>
              </w:rPr>
            </w:r>
          </w:p>
          <w:p>
            <w:pPr>
              <w:pStyle w:val="Normal"/>
              <w:rPr/>
            </w:pPr>
            <w:r>
              <w:rPr/>
            </w:r>
          </w:p>
          <w:p>
            <w:pPr>
              <w:pStyle w:val="Normal"/>
              <w:rPr/>
            </w:pPr>
            <w:r>
              <w:rPr/>
            </w:r>
          </w:p>
          <w:p>
            <w:pPr>
              <w:pStyle w:val="Normal"/>
              <w:rPr>
                <w:sz w:val="18"/>
              </w:rPr>
            </w:pPr>
            <w:r>
              <w:rPr>
                <w:sz w:val="18"/>
              </w:rPr>
              <w:t>Circle whether – Welfare/Financial/Both</w:t>
            </w:r>
          </w:p>
        </w:tc>
        <w:tc>
          <w:tcPr>
            <w:tcW w:w="1688"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sz w:val="18"/>
              </w:rPr>
            </w:pPr>
            <w:r>
              <w:rPr>
                <w:sz w:val="18"/>
              </w:rPr>
            </w:r>
          </w:p>
        </w:tc>
        <w:tc>
          <w:tcPr>
            <w:tcW w:w="53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pPr>
            <w:r>
              <w:rPr/>
            </w:r>
          </w:p>
        </w:tc>
      </w:tr>
      <w:tr>
        <w:trPr>
          <w:cantSplit w:val="true"/>
        </w:trPr>
        <w:tc>
          <w:tcPr>
            <w:tcW w:w="41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p>
            <w:pPr>
              <w:pStyle w:val="Normal"/>
              <w:rPr/>
            </w:pPr>
            <w:r>
              <w:rPr/>
            </w:r>
          </w:p>
          <w:p>
            <w:pPr>
              <w:pStyle w:val="Normal"/>
              <w:rPr/>
            </w:pPr>
            <w:r>
              <w:rPr/>
            </w:r>
          </w:p>
          <w:p>
            <w:pPr>
              <w:pStyle w:val="Normal"/>
              <w:rPr>
                <w:sz w:val="18"/>
              </w:rPr>
            </w:pPr>
            <w:r>
              <w:rPr>
                <w:sz w:val="18"/>
              </w:rPr>
              <w:t>Circle whether – Welfare/Financial/Both</w:t>
            </w:r>
          </w:p>
        </w:tc>
        <w:tc>
          <w:tcPr>
            <w:tcW w:w="1688"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53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pPr>
            <w:r>
              <w:rPr/>
            </w:r>
          </w:p>
        </w:tc>
      </w:tr>
      <w:tr>
        <w:trPr>
          <w:cantSplit w:val="true"/>
        </w:trPr>
        <w:tc>
          <w:tcPr>
            <w:tcW w:w="41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Heading1"/>
              <w:numPr>
                <w:ilvl w:val="0"/>
                <w:numId w:val="1"/>
              </w:numPr>
              <w:rPr/>
            </w:pPr>
            <w:r>
              <w:rPr>
                <w:spacing w:val="0"/>
              </w:rPr>
              <w:t>Powers of guardian/attorneys</w:t>
            </w:r>
          </w:p>
        </w:tc>
        <w:tc>
          <w:tcPr>
            <w:tcW w:w="93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Heading1"/>
              <w:numPr>
                <w:ilvl w:val="0"/>
                <w:numId w:val="1"/>
              </w:numPr>
              <w:rPr>
                <w:spacing w:val="0"/>
                <w:sz w:val="20"/>
              </w:rPr>
            </w:pPr>
            <w:r>
              <w:rPr>
                <w:spacing w:val="0"/>
                <w:sz w:val="20"/>
              </w:rPr>
              <w:t xml:space="preserve">Circle* </w:t>
            </w:r>
          </w:p>
        </w:tc>
        <w:tc>
          <w:tcPr>
            <w:tcW w:w="75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Heading1"/>
              <w:numPr>
                <w:ilvl w:val="0"/>
                <w:numId w:val="1"/>
              </w:numPr>
              <w:rPr>
                <w:spacing w:val="0"/>
                <w:sz w:val="20"/>
              </w:rPr>
            </w:pPr>
            <w:r>
              <w:rPr>
                <w:spacing w:val="0"/>
                <w:sz w:val="20"/>
              </w:rPr>
              <w:t xml:space="preserve">Tick </w:t>
            </w:r>
            <w:r>
              <w:rPr>
                <w:spacing w:val="0"/>
                <w:sz w:val="16"/>
              </w:rPr>
              <w:t>*</w:t>
            </w:r>
          </w:p>
        </w:tc>
        <w:tc>
          <w:tcPr>
            <w:tcW w:w="53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Heading1"/>
              <w:numPr>
                <w:ilvl w:val="0"/>
                <w:numId w:val="1"/>
              </w:numPr>
              <w:rPr>
                <w:spacing w:val="0"/>
              </w:rPr>
            </w:pPr>
            <w:r>
              <w:rPr>
                <w:spacing w:val="0"/>
              </w:rPr>
              <w:t>Notes</w:t>
            </w:r>
          </w:p>
        </w:tc>
      </w:tr>
      <w:tr>
        <w:trPr>
          <w:cantSplit w:val="true"/>
        </w:trPr>
        <w:tc>
          <w:tcPr>
            <w:tcW w:w="41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cs="Arial"/>
                <w:sz w:val="20"/>
                <w:szCs w:val="20"/>
              </w:rPr>
            </w:pPr>
            <w:r>
              <w:rPr>
                <w:rFonts w:cs="Arial"/>
                <w:sz w:val="20"/>
                <w:szCs w:val="20"/>
              </w:rPr>
              <w:t>Decide where the adult should reside</w:t>
            </w:r>
          </w:p>
        </w:tc>
        <w:tc>
          <w:tcPr>
            <w:tcW w:w="93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sz w:val="20"/>
              </w:rPr>
            </w:pPr>
            <w:r>
              <w:rPr>
                <w:sz w:val="20"/>
              </w:rPr>
              <w:t>Yes/No</w:t>
            </w:r>
          </w:p>
        </w:tc>
        <w:tc>
          <w:tcPr>
            <w:tcW w:w="75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ascii="Marlett" w:hAnsi="Marlett" w:eastAsia="Marlett" w:cs="Marlett"/>
                <w:sz w:val="36"/>
              </w:rPr>
            </w:pPr>
            <w:r>
              <w:rPr>
                <w:rFonts w:eastAsia="Marlett" w:cs="Marlett" w:ascii="Marlett" w:hAnsi="Marlett"/>
                <w:sz w:val="36"/>
              </w:rPr>
              <w:t></w:t>
            </w:r>
          </w:p>
        </w:tc>
        <w:tc>
          <w:tcPr>
            <w:tcW w:w="53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eastAsia="Marlett" w:cs="Marlett"/>
                <w:sz w:val="18"/>
              </w:rPr>
            </w:pPr>
            <w:r>
              <w:rPr>
                <w:rFonts w:eastAsia="Marlett" w:cs="Marlett"/>
                <w:sz w:val="18"/>
              </w:rPr>
            </w:r>
          </w:p>
        </w:tc>
      </w:tr>
      <w:tr>
        <w:trPr>
          <w:cantSplit w:val="true"/>
        </w:trPr>
        <w:tc>
          <w:tcPr>
            <w:tcW w:w="41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eastAsia="Marlett" w:cs="Arial"/>
                <w:sz w:val="20"/>
                <w:szCs w:val="20"/>
              </w:rPr>
            </w:pPr>
            <w:r>
              <w:rPr>
                <w:rFonts w:eastAsia="Marlett" w:cs="Arial"/>
                <w:sz w:val="20"/>
                <w:szCs w:val="20"/>
              </w:rPr>
              <w:t>Provide social, cultural, or educational activities and holidays</w:t>
            </w:r>
          </w:p>
        </w:tc>
        <w:tc>
          <w:tcPr>
            <w:tcW w:w="93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eastAsia="Marlett"/>
                <w:sz w:val="20"/>
              </w:rPr>
            </w:pPr>
            <w:r>
              <w:rPr>
                <w:rFonts w:eastAsia="Marlett"/>
                <w:sz w:val="20"/>
              </w:rPr>
              <w:t>Yes/No</w:t>
            </w:r>
          </w:p>
        </w:tc>
        <w:tc>
          <w:tcPr>
            <w:tcW w:w="75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ascii="Marlett" w:hAnsi="Marlett" w:eastAsia="Marlett" w:cs="Marlett"/>
                <w:sz w:val="36"/>
              </w:rPr>
            </w:pPr>
            <w:r>
              <w:rPr>
                <w:rFonts w:eastAsia="Marlett" w:cs="Marlett" w:ascii="Marlett" w:hAnsi="Marlett"/>
                <w:sz w:val="36"/>
              </w:rPr>
              <w:t></w:t>
            </w:r>
          </w:p>
        </w:tc>
        <w:tc>
          <w:tcPr>
            <w:tcW w:w="53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eastAsia="Marlett" w:cs="Marlett"/>
              </w:rPr>
            </w:pPr>
            <w:r>
              <w:rPr>
                <w:rFonts w:eastAsia="Marlett" w:cs="Marlett"/>
              </w:rPr>
            </w:r>
          </w:p>
        </w:tc>
      </w:tr>
      <w:tr>
        <w:trPr>
          <w:cantSplit w:val="true"/>
        </w:trPr>
        <w:tc>
          <w:tcPr>
            <w:tcW w:w="41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eastAsia="Marlett" w:cs="Arial"/>
                <w:sz w:val="20"/>
                <w:szCs w:val="20"/>
              </w:rPr>
            </w:pPr>
            <w:r>
              <w:rPr>
                <w:rFonts w:eastAsia="Marlett" w:cs="Arial"/>
                <w:sz w:val="20"/>
                <w:szCs w:val="20"/>
              </w:rPr>
              <w:t>Access to be given to medical, social work or care staff when required</w:t>
            </w:r>
          </w:p>
        </w:tc>
        <w:tc>
          <w:tcPr>
            <w:tcW w:w="93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eastAsia="Marlett"/>
                <w:sz w:val="20"/>
              </w:rPr>
            </w:pPr>
            <w:r>
              <w:rPr>
                <w:rFonts w:eastAsia="Marlett"/>
                <w:sz w:val="20"/>
              </w:rPr>
              <w:t>Yes/No</w:t>
            </w:r>
          </w:p>
        </w:tc>
        <w:tc>
          <w:tcPr>
            <w:tcW w:w="75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ascii="Marlett" w:hAnsi="Marlett" w:eastAsia="Marlett" w:cs="Marlett"/>
                <w:sz w:val="36"/>
              </w:rPr>
            </w:pPr>
            <w:r>
              <w:rPr>
                <w:rFonts w:eastAsia="Marlett" w:cs="Marlett" w:ascii="Marlett" w:hAnsi="Marlett"/>
                <w:sz w:val="36"/>
              </w:rPr>
              <w:t></w:t>
            </w:r>
          </w:p>
        </w:tc>
        <w:tc>
          <w:tcPr>
            <w:tcW w:w="53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eastAsia="Marlett" w:cs="Marlett"/>
              </w:rPr>
            </w:pPr>
            <w:r>
              <w:rPr>
                <w:rFonts w:eastAsia="Marlett" w:cs="Marlett"/>
              </w:rPr>
            </w:r>
          </w:p>
        </w:tc>
      </w:tr>
      <w:tr>
        <w:trPr>
          <w:cantSplit w:val="true"/>
        </w:trPr>
        <w:tc>
          <w:tcPr>
            <w:tcW w:w="41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eastAsia="Marlett"/>
              </w:rPr>
            </w:pPr>
            <w:r>
              <w:rPr>
                <w:rFonts w:eastAsia="Marlett" w:cs="Arial"/>
                <w:sz w:val="20"/>
                <w:szCs w:val="20"/>
              </w:rPr>
              <w:t>Financial powers of any kind (usually as Financial Guardian/Attorney)</w:t>
            </w:r>
          </w:p>
        </w:tc>
        <w:tc>
          <w:tcPr>
            <w:tcW w:w="93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eastAsia="Marlett"/>
                <w:sz w:val="20"/>
              </w:rPr>
            </w:pPr>
            <w:r>
              <w:rPr>
                <w:rFonts w:eastAsia="Marlett"/>
                <w:sz w:val="20"/>
              </w:rPr>
              <w:t>Yes/No</w:t>
            </w:r>
          </w:p>
        </w:tc>
        <w:tc>
          <w:tcPr>
            <w:tcW w:w="75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ascii="Marlett" w:hAnsi="Marlett" w:eastAsia="Marlett" w:cs="Marlett"/>
                <w:sz w:val="36"/>
              </w:rPr>
            </w:pPr>
            <w:r>
              <w:rPr>
                <w:rFonts w:eastAsia="Marlett" w:cs="Marlett" w:ascii="Marlett" w:hAnsi="Marlett"/>
                <w:sz w:val="36"/>
              </w:rPr>
              <w:t></w:t>
            </w:r>
          </w:p>
        </w:tc>
        <w:tc>
          <w:tcPr>
            <w:tcW w:w="53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eastAsia="Marlett" w:cs="Marlett"/>
                <w:sz w:val="18"/>
              </w:rPr>
            </w:pPr>
            <w:r>
              <w:rPr>
                <w:rFonts w:eastAsia="Marlett" w:cs="Marlett"/>
                <w:sz w:val="18"/>
              </w:rPr>
            </w:r>
          </w:p>
          <w:p>
            <w:pPr>
              <w:pStyle w:val="Normal"/>
              <w:rPr>
                <w:rFonts w:eastAsia="Marlett" w:cs="Marlett"/>
                <w:sz w:val="18"/>
              </w:rPr>
            </w:pPr>
            <w:r>
              <w:rPr>
                <w:rFonts w:eastAsia="Marlett" w:cs="Marlett"/>
                <w:sz w:val="18"/>
              </w:rPr>
            </w:r>
          </w:p>
        </w:tc>
      </w:tr>
      <w:tr>
        <w:trPr>
          <w:cantSplit w:val="true"/>
        </w:trPr>
        <w:tc>
          <w:tcPr>
            <w:tcW w:w="41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eastAsia="Marlett" w:cs="Arial"/>
                <w:sz w:val="20"/>
                <w:szCs w:val="20"/>
              </w:rPr>
            </w:pPr>
            <w:r>
              <w:rPr>
                <w:rFonts w:eastAsia="Marlett" w:cs="Arial"/>
                <w:sz w:val="20"/>
                <w:szCs w:val="20"/>
              </w:rPr>
              <w:t>Consent to medical treatments, research, or supervise medication</w:t>
            </w:r>
          </w:p>
        </w:tc>
        <w:tc>
          <w:tcPr>
            <w:tcW w:w="93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eastAsia="Marlett"/>
                <w:sz w:val="20"/>
              </w:rPr>
            </w:pPr>
            <w:r>
              <w:rPr>
                <w:rFonts w:eastAsia="Marlett"/>
                <w:sz w:val="20"/>
              </w:rPr>
              <w:t>Yes/No</w:t>
            </w:r>
          </w:p>
        </w:tc>
        <w:tc>
          <w:tcPr>
            <w:tcW w:w="75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ascii="Marlett" w:hAnsi="Marlett" w:eastAsia="Marlett" w:cs="Marlett"/>
                <w:sz w:val="36"/>
              </w:rPr>
            </w:pPr>
            <w:r>
              <w:rPr>
                <w:rFonts w:eastAsia="Marlett" w:cs="Marlett" w:ascii="Marlett" w:hAnsi="Marlett"/>
                <w:sz w:val="36"/>
              </w:rPr>
              <w:t></w:t>
            </w:r>
          </w:p>
        </w:tc>
        <w:tc>
          <w:tcPr>
            <w:tcW w:w="53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rFonts w:eastAsia="Marlett" w:cs="Marlett"/>
              </w:rPr>
            </w:pPr>
            <w:r>
              <w:rPr>
                <w:rFonts w:eastAsia="Marlett" w:cs="Marlett"/>
                <w:sz w:val="18"/>
              </w:rPr>
              <w:t>A section 47 Treatment Certificate</w:t>
            </w:r>
            <w:r>
              <w:rPr>
                <w:rFonts w:eastAsia="Marlett" w:cs="Marlett"/>
                <w:sz w:val="18"/>
                <w:vertAlign w:val="superscript"/>
              </w:rPr>
              <w:t>1</w:t>
            </w:r>
            <w:r>
              <w:rPr>
                <w:rFonts w:eastAsia="Marlett" w:cs="Marlett"/>
                <w:sz w:val="18"/>
              </w:rPr>
              <w:t xml:space="preserve"> to authorise treatment may be necessary. See GP or psychiatrist. </w:t>
            </w:r>
          </w:p>
          <w:p>
            <w:pPr>
              <w:pStyle w:val="Normal"/>
              <w:rPr>
                <w:rFonts w:eastAsia="Marlett" w:cs="Marlett"/>
                <w:sz w:val="18"/>
              </w:rPr>
            </w:pPr>
            <w:r>
              <w:rPr>
                <w:rFonts w:eastAsia="Marlett" w:cs="Marlett"/>
                <w:sz w:val="18"/>
              </w:rPr>
            </w:r>
          </w:p>
          <w:p>
            <w:pPr>
              <w:pStyle w:val="Normal"/>
              <w:rPr>
                <w:rFonts w:eastAsia="Marlett" w:cs="Marlett"/>
                <w:sz w:val="18"/>
              </w:rPr>
            </w:pPr>
            <w:r>
              <w:rPr>
                <w:rFonts w:eastAsia="Marlett" w:cs="Marlett"/>
                <w:sz w:val="18"/>
              </w:rPr>
            </w:r>
          </w:p>
        </w:tc>
      </w:tr>
      <w:tr>
        <w:trPr>
          <w:cantSplit w:val="true"/>
        </w:trPr>
        <w:tc>
          <w:tcPr>
            <w:tcW w:w="41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eastAsia="Marlett" w:cs="Arial"/>
                <w:sz w:val="20"/>
                <w:szCs w:val="20"/>
              </w:rPr>
            </w:pPr>
            <w:r>
              <w:rPr>
                <w:rFonts w:eastAsia="Marlett" w:cs="Arial"/>
                <w:sz w:val="20"/>
                <w:szCs w:val="20"/>
              </w:rPr>
              <w:t>Take legal action of any kind on behalf of the adult</w:t>
            </w:r>
          </w:p>
        </w:tc>
        <w:tc>
          <w:tcPr>
            <w:tcW w:w="93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eastAsia="Marlett"/>
                <w:sz w:val="20"/>
              </w:rPr>
            </w:pPr>
            <w:r>
              <w:rPr>
                <w:rFonts w:eastAsia="Marlett"/>
                <w:sz w:val="20"/>
              </w:rPr>
              <w:t>Yes/No</w:t>
            </w:r>
          </w:p>
        </w:tc>
        <w:tc>
          <w:tcPr>
            <w:tcW w:w="75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ascii="Marlett" w:hAnsi="Marlett" w:eastAsia="Marlett" w:cs="Marlett"/>
                <w:sz w:val="36"/>
              </w:rPr>
            </w:pPr>
            <w:r>
              <w:rPr>
                <w:rFonts w:eastAsia="Marlett" w:cs="Marlett" w:ascii="Marlett" w:hAnsi="Marlett"/>
                <w:sz w:val="36"/>
              </w:rPr>
              <w:t></w:t>
            </w:r>
          </w:p>
        </w:tc>
        <w:tc>
          <w:tcPr>
            <w:tcW w:w="53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eastAsia="Marlett" w:cs="Marlett"/>
              </w:rPr>
            </w:pPr>
            <w:r>
              <w:rPr>
                <w:rFonts w:eastAsia="Marlett" w:cs="Marlett"/>
              </w:rPr>
            </w:r>
          </w:p>
        </w:tc>
      </w:tr>
      <w:tr>
        <w:trPr>
          <w:cantSplit w:val="true"/>
        </w:trPr>
        <w:tc>
          <w:tcPr>
            <w:tcW w:w="41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eastAsia="Marlett" w:cs="Arial"/>
                <w:sz w:val="20"/>
                <w:szCs w:val="20"/>
              </w:rPr>
            </w:pPr>
            <w:r>
              <w:rPr>
                <w:rFonts w:eastAsia="Marlett" w:cs="Arial"/>
                <w:sz w:val="20"/>
                <w:szCs w:val="20"/>
              </w:rPr>
              <w:t>Access to any confidential records or data held on the adult</w:t>
            </w:r>
          </w:p>
        </w:tc>
        <w:tc>
          <w:tcPr>
            <w:tcW w:w="93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eastAsia="Marlett"/>
                <w:sz w:val="20"/>
              </w:rPr>
            </w:pPr>
            <w:r>
              <w:rPr>
                <w:rFonts w:eastAsia="Marlett"/>
                <w:sz w:val="20"/>
              </w:rPr>
              <w:t>Yes/No</w:t>
            </w:r>
          </w:p>
        </w:tc>
        <w:tc>
          <w:tcPr>
            <w:tcW w:w="75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ascii="Marlett" w:hAnsi="Marlett" w:eastAsia="Marlett" w:cs="Marlett"/>
                <w:sz w:val="36"/>
              </w:rPr>
            </w:pPr>
            <w:r>
              <w:rPr>
                <w:rFonts w:eastAsia="Marlett" w:cs="Marlett" w:ascii="Marlett" w:hAnsi="Marlett"/>
                <w:sz w:val="36"/>
              </w:rPr>
              <w:t></w:t>
            </w:r>
          </w:p>
        </w:tc>
        <w:tc>
          <w:tcPr>
            <w:tcW w:w="53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eastAsia="Marlett" w:cs="Marlett"/>
                <w:sz w:val="18"/>
              </w:rPr>
            </w:pPr>
            <w:r>
              <w:rPr>
                <w:rFonts w:eastAsia="Marlett" w:cs="Marlett"/>
                <w:sz w:val="18"/>
              </w:rPr>
            </w:r>
          </w:p>
          <w:p>
            <w:pPr>
              <w:pStyle w:val="Normal"/>
              <w:rPr>
                <w:rFonts w:eastAsia="Marlett" w:cs="Marlett"/>
                <w:sz w:val="18"/>
              </w:rPr>
            </w:pPr>
            <w:r>
              <w:rPr>
                <w:rFonts w:eastAsia="Marlett" w:cs="Marlett"/>
                <w:sz w:val="18"/>
              </w:rPr>
            </w:r>
          </w:p>
        </w:tc>
      </w:tr>
      <w:tr>
        <w:trPr>
          <w:cantSplit w:val="true"/>
        </w:trPr>
        <w:tc>
          <w:tcPr>
            <w:tcW w:w="41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eastAsia="Marlett" w:cs="Arial"/>
                <w:sz w:val="20"/>
                <w:szCs w:val="20"/>
              </w:rPr>
            </w:pPr>
            <w:r>
              <w:rPr>
                <w:rFonts w:eastAsia="Marlett" w:cs="Arial"/>
                <w:sz w:val="20"/>
                <w:szCs w:val="20"/>
              </w:rPr>
              <w:t>Dress, diet, personal appearance or hygiene</w:t>
            </w:r>
          </w:p>
        </w:tc>
        <w:tc>
          <w:tcPr>
            <w:tcW w:w="93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eastAsia="Marlett"/>
                <w:sz w:val="20"/>
              </w:rPr>
            </w:pPr>
            <w:r>
              <w:rPr>
                <w:rFonts w:eastAsia="Marlett"/>
                <w:sz w:val="20"/>
              </w:rPr>
              <w:t>Yes/No</w:t>
            </w:r>
          </w:p>
        </w:tc>
        <w:tc>
          <w:tcPr>
            <w:tcW w:w="75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ascii="Marlett" w:hAnsi="Marlett" w:eastAsia="Marlett" w:cs="Marlett"/>
                <w:sz w:val="36"/>
              </w:rPr>
            </w:pPr>
            <w:r>
              <w:rPr>
                <w:rFonts w:eastAsia="Marlett" w:cs="Marlett" w:ascii="Marlett" w:hAnsi="Marlett"/>
                <w:sz w:val="36"/>
              </w:rPr>
              <w:t></w:t>
            </w:r>
          </w:p>
        </w:tc>
        <w:tc>
          <w:tcPr>
            <w:tcW w:w="53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eastAsia="Marlett" w:cs="Marlett"/>
              </w:rPr>
            </w:pPr>
            <w:r>
              <w:rPr>
                <w:rFonts w:eastAsia="Marlett" w:cs="Marlett"/>
              </w:rPr>
            </w:r>
          </w:p>
        </w:tc>
      </w:tr>
      <w:tr>
        <w:trPr>
          <w:cantSplit w:val="true"/>
        </w:trPr>
        <w:tc>
          <w:tcPr>
            <w:tcW w:w="41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eastAsia="Marlett" w:cs="Arial"/>
                <w:sz w:val="20"/>
                <w:szCs w:val="20"/>
              </w:rPr>
            </w:pPr>
            <w:r>
              <w:rPr>
                <w:rFonts w:eastAsia="Marlett" w:cs="Arial"/>
                <w:sz w:val="20"/>
                <w:szCs w:val="20"/>
              </w:rPr>
              <w:t>With whom the adult may consort, or restrict or control access to certain people</w:t>
            </w:r>
          </w:p>
        </w:tc>
        <w:tc>
          <w:tcPr>
            <w:tcW w:w="93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eastAsia="Marlett"/>
                <w:sz w:val="20"/>
              </w:rPr>
            </w:pPr>
            <w:r>
              <w:rPr>
                <w:rFonts w:eastAsia="Marlett"/>
                <w:sz w:val="20"/>
              </w:rPr>
              <w:t>Yes/No</w:t>
            </w:r>
          </w:p>
        </w:tc>
        <w:tc>
          <w:tcPr>
            <w:tcW w:w="75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ascii="Marlett" w:hAnsi="Marlett" w:eastAsia="Marlett" w:cs="Marlett"/>
                <w:sz w:val="36"/>
              </w:rPr>
            </w:pPr>
            <w:r>
              <w:rPr>
                <w:rFonts w:eastAsia="Marlett" w:cs="Marlett" w:ascii="Marlett" w:hAnsi="Marlett"/>
                <w:sz w:val="36"/>
              </w:rPr>
              <w:t></w:t>
            </w:r>
          </w:p>
        </w:tc>
        <w:tc>
          <w:tcPr>
            <w:tcW w:w="53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eastAsia="Marlett" w:cs="Marlett"/>
                <w:sz w:val="18"/>
              </w:rPr>
            </w:pPr>
            <w:r>
              <w:rPr>
                <w:rFonts w:eastAsia="Marlett" w:cs="Marlett"/>
                <w:sz w:val="18"/>
              </w:rPr>
            </w:r>
          </w:p>
          <w:p>
            <w:pPr>
              <w:pStyle w:val="Normal"/>
              <w:rPr>
                <w:rFonts w:eastAsia="Marlett" w:cs="Marlett"/>
                <w:sz w:val="18"/>
              </w:rPr>
            </w:pPr>
            <w:r>
              <w:rPr>
                <w:rFonts w:eastAsia="Marlett" w:cs="Marlett"/>
                <w:sz w:val="18"/>
              </w:rPr>
            </w:r>
          </w:p>
        </w:tc>
      </w:tr>
      <w:tr>
        <w:trPr>
          <w:cantSplit w:val="true"/>
        </w:trPr>
        <w:tc>
          <w:tcPr>
            <w:tcW w:w="41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eastAsia="Marlett" w:cs="Arial"/>
                <w:sz w:val="20"/>
                <w:szCs w:val="20"/>
              </w:rPr>
            </w:pPr>
            <w:r>
              <w:rPr>
                <w:rFonts w:eastAsia="Marlett" w:cs="Arial"/>
                <w:sz w:val="20"/>
                <w:szCs w:val="20"/>
              </w:rPr>
              <w:t>Accompany the adult, or monitor or supervise the adult at all times</w:t>
            </w:r>
          </w:p>
        </w:tc>
        <w:tc>
          <w:tcPr>
            <w:tcW w:w="93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eastAsia="Marlett"/>
                <w:sz w:val="20"/>
              </w:rPr>
            </w:pPr>
            <w:r>
              <w:rPr>
                <w:rFonts w:eastAsia="Marlett"/>
                <w:sz w:val="20"/>
              </w:rPr>
              <w:t>Yes/No</w:t>
            </w:r>
          </w:p>
        </w:tc>
        <w:tc>
          <w:tcPr>
            <w:tcW w:w="75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ascii="Marlett" w:hAnsi="Marlett" w:eastAsia="Marlett" w:cs="Marlett"/>
                <w:sz w:val="36"/>
              </w:rPr>
            </w:pPr>
            <w:r>
              <w:rPr>
                <w:rFonts w:eastAsia="Marlett" w:cs="Marlett" w:ascii="Marlett" w:hAnsi="Marlett"/>
                <w:sz w:val="36"/>
              </w:rPr>
              <w:t></w:t>
            </w:r>
          </w:p>
        </w:tc>
        <w:tc>
          <w:tcPr>
            <w:tcW w:w="53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eastAsia="Marlett" w:cs="Marlett"/>
                <w:sz w:val="18"/>
              </w:rPr>
            </w:pPr>
            <w:r>
              <w:rPr>
                <w:rFonts w:eastAsia="Marlett" w:cs="Marlett"/>
                <w:sz w:val="18"/>
              </w:rPr>
            </w:r>
          </w:p>
          <w:p>
            <w:pPr>
              <w:pStyle w:val="Normal"/>
              <w:rPr>
                <w:rFonts w:eastAsia="Marlett" w:cs="Marlett"/>
                <w:sz w:val="18"/>
              </w:rPr>
            </w:pPr>
            <w:r>
              <w:rPr>
                <w:rFonts w:eastAsia="Marlett" w:cs="Marlett"/>
                <w:sz w:val="18"/>
              </w:rPr>
            </w:r>
          </w:p>
        </w:tc>
      </w:tr>
      <w:tr>
        <w:trPr>
          <w:cantSplit w:val="true"/>
        </w:trPr>
        <w:tc>
          <w:tcPr>
            <w:tcW w:w="411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eastAsia="Marlett" w:cs="Arial"/>
                <w:sz w:val="20"/>
                <w:szCs w:val="20"/>
              </w:rPr>
            </w:pPr>
            <w:r>
              <w:rPr>
                <w:rFonts w:eastAsia="Marlett" w:cs="Arial"/>
                <w:sz w:val="20"/>
                <w:szCs w:val="20"/>
              </w:rPr>
              <w:t>Other, please specify</w:t>
            </w:r>
          </w:p>
        </w:tc>
        <w:tc>
          <w:tcPr>
            <w:tcW w:w="93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eastAsia="Marlett"/>
                <w:sz w:val="20"/>
              </w:rPr>
            </w:pPr>
            <w:r>
              <w:rPr>
                <w:rFonts w:eastAsia="Marlett"/>
                <w:sz w:val="20"/>
              </w:rPr>
              <w:t>Yes/No</w:t>
            </w:r>
          </w:p>
        </w:tc>
        <w:tc>
          <w:tcPr>
            <w:tcW w:w="75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ascii="Marlett" w:hAnsi="Marlett" w:eastAsia="Marlett" w:cs="Marlett"/>
                <w:sz w:val="36"/>
              </w:rPr>
            </w:pPr>
            <w:r>
              <w:rPr>
                <w:rFonts w:eastAsia="Marlett" w:cs="Marlett" w:ascii="Marlett" w:hAnsi="Marlett"/>
                <w:sz w:val="36"/>
              </w:rPr>
              <w:t></w:t>
            </w:r>
          </w:p>
        </w:tc>
        <w:tc>
          <w:tcPr>
            <w:tcW w:w="53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rFonts w:eastAsia="Marlett" w:cs="Marlett"/>
              </w:rPr>
            </w:pPr>
            <w:r>
              <w:rPr>
                <w:rFonts w:eastAsia="Marlett" w:cs="Marlett"/>
                <w:sz w:val="18"/>
              </w:rPr>
              <w:t>If there are more powers attach a separate sheet</w:t>
            </w:r>
            <w:r>
              <w:rPr>
                <w:rFonts w:eastAsia="Marlett" w:cs="Marlett"/>
                <w:sz w:val="18"/>
                <w:vertAlign w:val="superscript"/>
              </w:rPr>
              <w:t>2</w:t>
            </w:r>
            <w:r>
              <w:rPr>
                <w:rFonts w:eastAsia="Marlett" w:cs="Marlett"/>
                <w:sz w:val="18"/>
              </w:rPr>
              <w:t>.</w:t>
            </w:r>
          </w:p>
          <w:p>
            <w:pPr>
              <w:pStyle w:val="Normal"/>
              <w:rPr>
                <w:rFonts w:eastAsia="Marlett" w:cs="Marlett"/>
                <w:sz w:val="18"/>
              </w:rPr>
            </w:pPr>
            <w:r>
              <w:rPr>
                <w:rFonts w:eastAsia="Marlett" w:cs="Marlett"/>
                <w:sz w:val="18"/>
              </w:rPr>
            </w:r>
          </w:p>
        </w:tc>
      </w:tr>
      <w:tr>
        <w:trPr>
          <w:cantSplit w:val="true"/>
        </w:trPr>
        <w:tc>
          <w:tcPr>
            <w:tcW w:w="11157"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pPr>
            <w:r>
              <w:rPr>
                <w:rFonts w:eastAsia="Marlett" w:cs="Marlett"/>
                <w:b/>
                <w:bCs/>
                <w:sz w:val="20"/>
              </w:rPr>
              <w:t>*Circle Yes if Guardian has this power</w:t>
            </w:r>
            <w:r>
              <w:rPr>
                <w:rFonts w:eastAsia="Marlett" w:cs="Marlett"/>
                <w:b/>
                <w:bCs/>
                <w:sz w:val="20"/>
                <w:vertAlign w:val="superscript"/>
              </w:rPr>
              <w:t>2</w:t>
            </w:r>
            <w:r>
              <w:rPr>
                <w:rFonts w:eastAsia="Marlett" w:cs="Marlett"/>
                <w:b/>
                <w:bCs/>
                <w:sz w:val="20"/>
              </w:rPr>
              <w:t>. Tick</w:t>
            </w:r>
            <w:r>
              <w:rPr>
                <w:rFonts w:eastAsia="Marlett" w:cs="Marlett" w:ascii="Marlett" w:hAnsi="Marlett"/>
                <w:b/>
                <w:bCs/>
                <w:sz w:val="20"/>
              </w:rPr>
              <w:t></w:t>
            </w:r>
            <w:r>
              <w:rPr>
                <w:rFonts w:eastAsia="Marlett" w:cs="Marlett"/>
                <w:b/>
                <w:bCs/>
                <w:sz w:val="20"/>
              </w:rPr>
              <w:t xml:space="preserve"> each of the powers the guardian has delegated to staff</w:t>
            </w:r>
          </w:p>
        </w:tc>
      </w:tr>
    </w:tbl>
    <w:p>
      <w:pPr>
        <w:pStyle w:val="Normal"/>
        <w:rPr>
          <w:rFonts w:eastAsia="Marlett" w:cs="Marlett"/>
        </w:rPr>
      </w:pPr>
      <w:r>
        <w:rPr>
          <w:rFonts w:eastAsia="Marlett" w:cs="Marlett"/>
        </w:rPr>
      </w:r>
    </w:p>
    <w:tbl>
      <w:tblPr>
        <w:tblW w:w="11157" w:type="dxa"/>
        <w:jc w:val="left"/>
        <w:tblInd w:w="-271"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108"/>
        <w:gridCol w:w="4185"/>
        <w:gridCol w:w="3864"/>
      </w:tblGrid>
      <w:tr>
        <w:trPr/>
        <w:tc>
          <w:tcPr>
            <w:tcW w:w="31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eastAsia="Marlett" w:cs="Marlett"/>
              </w:rPr>
            </w:pPr>
            <w:r>
              <w:rPr>
                <w:rFonts w:eastAsia="Marlett" w:cs="Marlett"/>
              </w:rPr>
            </w:r>
          </w:p>
        </w:tc>
        <w:tc>
          <w:tcPr>
            <w:tcW w:w="41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eastAsia="Marlett" w:cs="Marlett"/>
                <w:b/>
                <w:b/>
                <w:bCs/>
              </w:rPr>
            </w:pPr>
            <w:r>
              <w:rPr>
                <w:rFonts w:eastAsia="Marlett" w:cs="Marlett"/>
                <w:b/>
                <w:bCs/>
              </w:rPr>
              <w:t>Name and address</w:t>
            </w:r>
          </w:p>
        </w:tc>
        <w:tc>
          <w:tcPr>
            <w:tcW w:w="38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rFonts w:eastAsia="Marlett" w:cs="Marlett"/>
                <w:b/>
                <w:b/>
                <w:bCs/>
              </w:rPr>
            </w:pPr>
            <w:r>
              <w:rPr>
                <w:rFonts w:eastAsia="Marlett" w:cs="Marlett"/>
                <w:b/>
                <w:bCs/>
              </w:rPr>
              <w:t>Telephone number</w:t>
            </w:r>
          </w:p>
          <w:p>
            <w:pPr>
              <w:pStyle w:val="Normal"/>
              <w:rPr>
                <w:rFonts w:eastAsia="Marlett" w:cs="Marlett"/>
                <w:b/>
                <w:b/>
                <w:bCs/>
              </w:rPr>
            </w:pPr>
            <w:r>
              <w:rPr>
                <w:rFonts w:eastAsia="Marlett" w:cs="Marlett"/>
                <w:b/>
                <w:bCs/>
              </w:rPr>
              <w:t>(inc. out of hours)</w:t>
            </w:r>
          </w:p>
        </w:tc>
      </w:tr>
      <w:tr>
        <w:trPr/>
        <w:tc>
          <w:tcPr>
            <w:tcW w:w="31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eastAsia="Marlett" w:cs="Marlett"/>
              </w:rPr>
            </w:pPr>
            <w:r>
              <w:rPr>
                <w:rFonts w:eastAsia="Marlett" w:cs="Marlett"/>
                <w:b/>
                <w:bCs/>
              </w:rPr>
              <w:t>Supervisor (for private guardians only)</w:t>
            </w:r>
          </w:p>
          <w:p>
            <w:pPr>
              <w:pStyle w:val="Normal"/>
              <w:rPr>
                <w:rFonts w:eastAsia="Marlett" w:cs="Marlett"/>
                <w:b/>
                <w:b/>
                <w:bCs/>
              </w:rPr>
            </w:pPr>
            <w:r>
              <w:rPr>
                <w:rFonts w:eastAsia="Marlett" w:cs="Marlett"/>
                <w:b/>
                <w:bCs/>
              </w:rPr>
            </w:r>
          </w:p>
        </w:tc>
        <w:tc>
          <w:tcPr>
            <w:tcW w:w="41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eastAsia="Marlett" w:cs="Marlett"/>
                <w:b/>
                <w:b/>
                <w:bCs/>
              </w:rPr>
            </w:pPr>
            <w:r>
              <w:rPr>
                <w:rFonts w:eastAsia="Marlett" w:cs="Marlett"/>
                <w:b/>
                <w:bCs/>
              </w:rPr>
            </w:r>
          </w:p>
          <w:p>
            <w:pPr>
              <w:pStyle w:val="Normal"/>
              <w:rPr>
                <w:rFonts w:eastAsia="Marlett" w:cs="Marlett"/>
              </w:rPr>
            </w:pPr>
            <w:r>
              <w:rPr>
                <w:rFonts w:eastAsia="Marlett" w:cs="Marlett"/>
              </w:rPr>
            </w:r>
          </w:p>
          <w:p>
            <w:pPr>
              <w:pStyle w:val="Normal"/>
              <w:rPr>
                <w:rFonts w:eastAsia="Marlett" w:cs="Marlett"/>
              </w:rPr>
            </w:pPr>
            <w:r>
              <w:rPr>
                <w:rFonts w:eastAsia="Marlett" w:cs="Marlett"/>
              </w:rPr>
              <w:t xml:space="preserve">Local Authority: </w:t>
            </w:r>
          </w:p>
        </w:tc>
        <w:tc>
          <w:tcPr>
            <w:tcW w:w="38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eastAsia="Marlett" w:cs="Marlett"/>
              </w:rPr>
            </w:pPr>
            <w:r>
              <w:rPr>
                <w:rFonts w:eastAsia="Marlett" w:cs="Marlett"/>
              </w:rPr>
            </w:r>
          </w:p>
        </w:tc>
      </w:tr>
      <w:tr>
        <w:trPr/>
        <w:tc>
          <w:tcPr>
            <w:tcW w:w="31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rFonts w:eastAsia="Marlett" w:cs="Marlett"/>
                <w:b/>
                <w:b/>
                <w:bCs/>
              </w:rPr>
            </w:pPr>
            <w:r>
              <w:rPr>
                <w:rFonts w:eastAsia="Marlett" w:cs="Marlett"/>
                <w:b/>
                <w:bCs/>
              </w:rPr>
              <w:t>Person managing financial affairs – ie appointee</w:t>
            </w:r>
          </w:p>
        </w:tc>
        <w:tc>
          <w:tcPr>
            <w:tcW w:w="41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eastAsia="Marlett" w:cs="Marlett"/>
                <w:b/>
                <w:b/>
                <w:bCs/>
              </w:rPr>
            </w:pPr>
            <w:r>
              <w:rPr>
                <w:rFonts w:eastAsia="Marlett" w:cs="Marlett"/>
                <w:b/>
                <w:bCs/>
              </w:rPr>
            </w:r>
          </w:p>
        </w:tc>
        <w:tc>
          <w:tcPr>
            <w:tcW w:w="38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eastAsia="Marlett" w:cs="Marlett"/>
              </w:rPr>
            </w:pPr>
            <w:r>
              <w:rPr>
                <w:rFonts w:eastAsia="Marlett" w:cs="Marlett"/>
              </w:rPr>
            </w:r>
          </w:p>
        </w:tc>
      </w:tr>
      <w:tr>
        <w:trPr/>
        <w:tc>
          <w:tcPr>
            <w:tcW w:w="310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b/>
                <w:b/>
                <w:bCs/>
              </w:rPr>
            </w:pPr>
            <w:r>
              <w:rPr>
                <w:rFonts w:eastAsia="Marlett" w:cs="Marlett"/>
                <w:b/>
                <w:bCs/>
              </w:rPr>
              <w:t>Person/s for whom access to adult is restricted</w:t>
            </w:r>
            <w:r>
              <w:rPr>
                <w:rFonts w:eastAsia="Marlett" w:cs="Marlett"/>
                <w:sz w:val="18"/>
                <w:vertAlign w:val="superscript"/>
              </w:rPr>
              <w:t>2</w:t>
            </w:r>
          </w:p>
        </w:tc>
        <w:tc>
          <w:tcPr>
            <w:tcW w:w="41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eastAsia="Marlett" w:cs="Marlett"/>
                <w:b/>
                <w:b/>
                <w:bCs/>
              </w:rPr>
            </w:pPr>
            <w:r>
              <w:rPr>
                <w:rFonts w:eastAsia="Marlett" w:cs="Marlett"/>
                <w:b/>
                <w:bCs/>
              </w:rPr>
            </w:r>
          </w:p>
        </w:tc>
        <w:tc>
          <w:tcPr>
            <w:tcW w:w="38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eastAsia="Marlett" w:cs="Marlett"/>
              </w:rPr>
            </w:pPr>
            <w:r>
              <w:rPr>
                <w:rFonts w:eastAsia="Marlett" w:cs="Marlett"/>
              </w:rPr>
            </w:r>
          </w:p>
        </w:tc>
      </w:tr>
    </w:tbl>
    <w:p>
      <w:pPr>
        <w:pStyle w:val="Normal"/>
        <w:rPr>
          <w:rFonts w:eastAsia="Marlett" w:cs="Marlett"/>
        </w:rPr>
      </w:pPr>
      <w:r>
        <w:rPr>
          <w:rFonts w:eastAsia="Marlett" w:cs="Marlett"/>
          <w:sz w:val="18"/>
          <w:vertAlign w:val="superscript"/>
        </w:rPr>
        <w:t xml:space="preserve">1 </w:t>
      </w:r>
      <w:r>
        <w:rPr>
          <w:rFonts w:eastAsia="Marlett" w:cs="Marlett"/>
          <w:sz w:val="18"/>
        </w:rPr>
        <w:t>The Act requires a Treatment Certificate be completed even where there is a Guardian/Attorney with this power.</w:t>
      </w:r>
    </w:p>
    <w:p>
      <w:pPr>
        <w:pStyle w:val="Normal"/>
        <w:rPr>
          <w:rFonts w:eastAsia="Marlett" w:cs="Marlett"/>
        </w:rPr>
      </w:pPr>
      <w:r>
        <w:rPr>
          <w:rFonts w:eastAsia="Marlett" w:cs="Marlett"/>
          <w:sz w:val="18"/>
          <w:vertAlign w:val="superscript"/>
        </w:rPr>
        <w:t xml:space="preserve">2 </w:t>
      </w:r>
      <w:r>
        <w:rPr>
          <w:rFonts w:eastAsia="Marlett" w:cs="Marlett"/>
          <w:sz w:val="18"/>
        </w:rPr>
        <w:t>Attach details of any arrangements, and any other authorised restrictions, to this sheet.</w:t>
      </w:r>
    </w:p>
    <w:sectPr>
      <w:footerReference w:type="default" r:id="rId2"/>
      <w:type w:val="nextPage"/>
      <w:pgSz w:w="11906" w:h="16838"/>
      <w:pgMar w:left="720" w:right="720" w:header="0" w:top="720" w:footer="709" w:bottom="76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Marlett">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sz w:val="18"/>
      </w:rPr>
      <w:t>TJ/ V2 Incapacity Act Care Home Guidance Notes 1216</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DemiLight" w:cs="FreeSans"/>
        <w:szCs w:val="24"/>
        <w:lang w:val="en-GB" w:eastAsia="zh-CN" w:bidi="hi-IN"/>
      </w:rPr>
    </w:rPrDefault>
    <w:pPrDefault>
      <w:pPr/>
    </w:pPrDefault>
  </w:docDefaults>
  <w:style w:type="paragraph" w:styleId="Normal">
    <w:name w:val="Normal"/>
    <w:qFormat/>
    <w:pPr>
      <w:widowControl/>
      <w:bidi w:val="0"/>
    </w:pPr>
    <w:rPr>
      <w:rFonts w:ascii="Arial" w:hAnsi="Arial" w:eastAsia="Times New Roman" w:cs="Arial"/>
      <w:color w:val="auto"/>
      <w:sz w:val="24"/>
      <w:szCs w:val="24"/>
      <w:lang w:val="en-GB" w:bidi="ar-SA" w:eastAsia="zh-CN"/>
    </w:rPr>
  </w:style>
  <w:style w:type="paragraph" w:styleId="Heading1">
    <w:name w:val="Heading 1"/>
    <w:basedOn w:val="Normal"/>
    <w:next w:val="Normal"/>
    <w:qFormat/>
    <w:pPr>
      <w:keepNext/>
      <w:numPr>
        <w:ilvl w:val="0"/>
        <w:numId w:val="1"/>
      </w:numPr>
      <w:outlineLvl w:val="0"/>
      <w:outlineLvl w:val="0"/>
    </w:pPr>
    <w:rPr>
      <w:b/>
      <w:bCs/>
      <w:spacing w:val="30"/>
    </w:rPr>
  </w:style>
  <w:style w:type="paragraph" w:styleId="Heading2">
    <w:name w:val="Heading 2"/>
    <w:basedOn w:val="Normal"/>
    <w:next w:val="Normal"/>
    <w:qFormat/>
    <w:pPr>
      <w:keepNext/>
      <w:numPr>
        <w:ilvl w:val="1"/>
        <w:numId w:val="1"/>
      </w:numPr>
      <w:outlineLvl w:val="1"/>
      <w:outlineLvl w:val="1"/>
    </w:pPr>
    <w:rPr>
      <w:b/>
      <w:bCs/>
      <w:spacing w:val="30"/>
      <w:u w:val="single"/>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paragraph" w:styleId="Heading">
    <w:name w:val="Heading"/>
    <w:basedOn w:val="Normal"/>
    <w:next w:val="TextBody"/>
    <w:qFormat/>
    <w:pPr>
      <w:keepNext/>
      <w:spacing w:before="240" w:after="120"/>
    </w:pPr>
    <w:rPr>
      <w:rFonts w:ascii="Liberation Sans" w:hAnsi="Liberation Sans" w:eastAsia="Noto Sans CJK SC DemiLight" w:cs="FreeSans"/>
      <w:sz w:val="28"/>
      <w:szCs w:val="28"/>
    </w:rPr>
  </w:style>
  <w:style w:type="paragraph" w:styleId="TextBody">
    <w:name w:val="Body Text"/>
    <w:basedOn w:val="Normal"/>
    <w:pPr/>
    <w:rPr>
      <w:sz w:val="20"/>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odyText2">
    <w:name w:val="Body Text 2"/>
    <w:basedOn w:val="Normal"/>
    <w:qFormat/>
    <w:pPr/>
    <w:rPr>
      <w:sz w:val="22"/>
    </w:rPr>
  </w:style>
  <w:style w:type="paragraph" w:styleId="Header">
    <w:name w:val="Header"/>
    <w:basedOn w:val="Normal"/>
    <w:pPr>
      <w:tabs>
        <w:tab w:val="center" w:pos="4153" w:leader="none"/>
        <w:tab w:val="right" w:pos="8306" w:leader="none"/>
      </w:tabs>
    </w:pPr>
    <w:rPr/>
  </w:style>
  <w:style w:type="paragraph" w:styleId="Footer">
    <w:name w:val="Footer"/>
    <w:basedOn w:val="Normal"/>
    <w:pPr>
      <w:tabs>
        <w:tab w:val="center" w:pos="4153" w:leader="none"/>
        <w:tab w:val="right" w:pos="830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LibreOffice/5.2.7.2$Linux_X86_64 LibreOffice_project/20m0$Build-2</Application>
  <Pages>3</Pages>
  <Words>638</Words>
  <Characters>3261</Characters>
  <CharactersWithSpaces>3829</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2017-08-22T11:10:00Z</dcterms:created>
  <dc:creator>TJevon</dc:creator>
  <dc:description/>
  <dc:language>en-GB</dc:language>
  <cp:lastModifiedBy>Jamie Wilson</cp:lastModifiedBy>
  <cp:lastPrinted>2009-08-19T16:12:00Z</cp:lastPrinted>
  <dcterms:modified xsi:type="dcterms:W3CDTF">2017-08-22T11:10:00Z</dcterms:modified>
  <cp:revision>2</cp:revision>
  <dc:subject/>
  <dc:title>Welfare and Financial Guardianship in the Care Home</dc:title>
</cp:coreProperties>
</file>